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color w:val="EEECE1" w:themeColor="background2"/>
          <w:sz w:val="56"/>
          <w:szCs w:val="56"/>
          <w:lang w:val="ru-RU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jc w:val="center"/>
        <w:rPr>
          <w:color w:val="EEECE1" w:themeColor="background2"/>
          <w:sz w:val="56"/>
          <w:szCs w:val="56"/>
          <w:lang w:val="ru-RU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jc w:val="center"/>
        <w:rPr>
          <w:color w:val="EEECE1" w:themeColor="background2"/>
          <w:sz w:val="56"/>
          <w:szCs w:val="56"/>
          <w:lang w:val="ru-RU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color w:val="EEECE1" w:themeColor="background2"/>
          <w:sz w:val="56"/>
          <w:szCs w:val="56"/>
          <w:lang w:val="ru-RU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Развивающая предметно-пространственная среда</w:t>
      </w:r>
    </w:p>
    <w:p>
      <w:pPr>
        <w:jc w:val="center"/>
        <w:rPr>
          <w:rFonts w:hint="default"/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 xml:space="preserve">Группа №10 </w:t>
      </w:r>
      <w:r>
        <w:rPr>
          <w:rFonts w:hint="default"/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3481070" cy="1732280"/>
            <wp:effectExtent l="0" t="0" r="5080" b="1270"/>
            <wp:docPr id="11" name="Picture 11" descr="ce8e40a1174d6a5740a094fd85b5b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e8e40a1174d6a5740a094fd85b5bc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546725" cy="3724275"/>
            <wp:effectExtent l="0" t="0" r="15875" b="9525"/>
            <wp:docPr id="1" name="Picture 1" descr="WP_2017120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P_20171208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br w:type="page"/>
      </w:r>
    </w:p>
    <w:p>
      <w:pPr>
        <w:jc w:val="center"/>
        <w:rPr>
          <w:rFonts w:hint="default"/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default"/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270500" cy="831850"/>
            <wp:effectExtent l="0" t="0" r="6350" b="6350"/>
            <wp:docPr id="12" name="Picture 12" descr="9b1531d19d8166abdd14ad4f58bc8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9b1531d19d8166abdd14ad4f58bc82b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1591310" cy="1629410"/>
            <wp:effectExtent l="36830" t="0" r="0" b="0"/>
            <wp:docPr id="13" name="Picture 13" descr="logo_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_ca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280000">
                      <a:off x="0" y="0"/>
                      <a:ext cx="15913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FF0000"/>
          <w:sz w:val="72"/>
          <w:szCs w:val="72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 xml:space="preserve"> </w:t>
      </w:r>
    </w:p>
    <w:p>
      <w:pPr>
        <w:jc w:val="both"/>
        <w:rPr>
          <w:rFonts w:hint="default"/>
          <w:color w:val="0D0D0D" w:themeColor="text1" w:themeTint="F2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  <w14:props3d w14:extrusionH="0" w14:contourW="0" w14:prstMaterial="clear"/>
        </w:rPr>
      </w:pPr>
      <w:r>
        <w:rPr>
          <w:rFonts w:hint="default"/>
          <w:color w:val="0D0D0D" w:themeColor="text1" w:themeTint="F2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  <w14:props3d w14:extrusionH="0" w14:contourW="0" w14:prstMaterial="clear"/>
        </w:rPr>
        <w:t>Группа находится на втором этаже и состоит из 4-х помещений:</w:t>
      </w:r>
    </w:p>
    <w:p>
      <w:pPr>
        <w:jc w:val="both"/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-раздевалка</w:t>
      </w:r>
    </w:p>
    <w:p>
      <w:pPr>
        <w:jc w:val="both"/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-умывальная комната</w:t>
      </w:r>
    </w:p>
    <w:p>
      <w:pPr>
        <w:jc w:val="both"/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-игровая комната</w:t>
      </w:r>
    </w:p>
    <w:p>
      <w:pPr>
        <w:jc w:val="both"/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-спальная комната</w:t>
      </w:r>
    </w:p>
    <w:p>
      <w:pPr>
        <w:jc w:val="both"/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both"/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default"/>
          <w:color w:val="00B0F0"/>
          <w:sz w:val="48"/>
          <w:szCs w:val="48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drawing>
          <wp:inline distT="0" distB="0" distL="114300" distR="114300">
            <wp:extent cx="5604510" cy="3148965"/>
            <wp:effectExtent l="0" t="0" r="15240" b="13335"/>
            <wp:docPr id="14" name="Picture 14" descr="WP_201712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P_20171206_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i/>
          <w:iCs/>
          <w:color w:val="auto"/>
          <w:sz w:val="36"/>
          <w:szCs w:val="36"/>
          <w:u w:val="none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center"/>
        <w:rPr>
          <w:rFonts w:hint="default"/>
          <w:i/>
          <w:iCs/>
          <w:color w:val="auto"/>
          <w:sz w:val="36"/>
          <w:szCs w:val="36"/>
          <w:u w:val="none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default"/>
          <w:i/>
          <w:iCs/>
          <w:color w:val="auto"/>
          <w:sz w:val="36"/>
          <w:szCs w:val="36"/>
          <w:u w:val="none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Информационная справка о раздевальной комнате</w:t>
      </w:r>
    </w:p>
    <w:p>
      <w:pPr>
        <w:jc w:val="both"/>
        <w:rPr>
          <w:rFonts w:hint="default"/>
          <w:color w:val="auto"/>
          <w:sz w:val="36"/>
          <w:szCs w:val="36"/>
          <w:lang w:val="ru-RU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left"/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Цель:</w:t>
      </w:r>
      <w:r>
        <w:rPr>
          <w:rFonts w:hint="default"/>
          <w:color w:val="FF0000"/>
          <w:sz w:val="32"/>
          <w:szCs w:val="32"/>
          <w:lang w:val="ru-RU"/>
        </w:rPr>
        <w:t xml:space="preserve"> </w:t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i/>
          <w:iCs/>
          <w:sz w:val="32"/>
          <w:szCs w:val="32"/>
          <w:lang w:val="ru-RU"/>
        </w:rPr>
        <w:t>использование развивающей предметно- пространственной среды для информирования семей воспитанников с условиями пребывания детей в детском саду, осуществление хранения личных детских вещей.</w:t>
      </w:r>
    </w:p>
    <w:p>
      <w:pPr>
        <w:jc w:val="left"/>
        <w:rPr>
          <w:rFonts w:hint="default"/>
          <w:i/>
          <w:iCs/>
          <w:sz w:val="36"/>
          <w:szCs w:val="36"/>
          <w:lang w:val="ru-RU"/>
        </w:rPr>
      </w:pPr>
    </w:p>
    <w:p>
      <w:pPr>
        <w:jc w:val="left"/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 xml:space="preserve">Оснащение: 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Информационный стенд (для родителей)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Стенд “Наше творчество”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Советы специалистов (консультации)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Советы воспитателей (консультации)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Индивидуальные шкафчики для раздевания с индивидуальной маркировкой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Банкетка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 xml:space="preserve">Стенд “Поздравляем!” </w:t>
      </w:r>
    </w:p>
    <w:p>
      <w:pPr>
        <w:numPr>
          <w:ilvl w:val="0"/>
          <w:numId w:val="1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 xml:space="preserve">В раздевальной комнате предусмотрены условия для сушки верхней одежды и обуви детей 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  <w:r>
        <w:rPr>
          <w:rFonts w:hint="default"/>
          <w:i/>
          <w:iCs/>
          <w:sz w:val="32"/>
          <w:szCs w:val="32"/>
          <w:u w:val="none"/>
          <w:lang w:val="ru-RU"/>
        </w:rPr>
        <w:drawing>
          <wp:inline distT="0" distB="0" distL="114300" distR="114300">
            <wp:extent cx="5756275" cy="3234055"/>
            <wp:effectExtent l="0" t="0" r="15875" b="4445"/>
            <wp:docPr id="16" name="Picture 16" descr="WP_20171208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P_20171208_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  <w:r>
        <w:rPr>
          <w:rFonts w:hint="default"/>
          <w:i/>
          <w:iCs/>
          <w:sz w:val="32"/>
          <w:szCs w:val="32"/>
          <w:u w:val="none"/>
          <w:lang w:val="ru-RU"/>
        </w:rPr>
        <w:drawing>
          <wp:inline distT="0" distB="0" distL="114300" distR="114300">
            <wp:extent cx="5266055" cy="2958465"/>
            <wp:effectExtent l="0" t="0" r="10795" b="13335"/>
            <wp:docPr id="18" name="Picture 18" descr="WP_20171208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WP_20171208_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  <w:r>
        <w:rPr>
          <w:rFonts w:hint="default"/>
          <w:i/>
          <w:iCs/>
          <w:sz w:val="32"/>
          <w:szCs w:val="32"/>
          <w:u w:val="none"/>
          <w:lang w:val="ru-RU"/>
        </w:rPr>
        <w:drawing>
          <wp:inline distT="0" distB="0" distL="114300" distR="114300">
            <wp:extent cx="5807710" cy="3263265"/>
            <wp:effectExtent l="0" t="0" r="2540" b="13335"/>
            <wp:docPr id="19" name="Picture 19" descr="WP_2017120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WP_20171206_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color w:val="7030A0"/>
          <w:sz w:val="36"/>
          <w:szCs w:val="36"/>
          <w:u w:val="none"/>
          <w:lang w:val="ru-RU"/>
        </w:rPr>
      </w:pPr>
      <w:r>
        <w:rPr>
          <w:rFonts w:hint="default"/>
          <w:b/>
          <w:bCs/>
          <w:i/>
          <w:iCs/>
          <w:color w:val="7030A0"/>
          <w:sz w:val="36"/>
          <w:szCs w:val="36"/>
          <w:u w:val="none"/>
          <w:lang w:val="ru-RU"/>
        </w:rPr>
        <w:t>Информационная справка об умывальной комнате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u w:val="none"/>
          <w:lang w:val="ru-RU"/>
        </w:rPr>
        <w:t>Цель:</w:t>
      </w:r>
      <w:r>
        <w:rPr>
          <w:rFonts w:hint="default"/>
          <w:i/>
          <w:iCs/>
          <w:sz w:val="32"/>
          <w:szCs w:val="32"/>
          <w:u w:val="none"/>
          <w:lang w:val="ru-RU"/>
        </w:rPr>
        <w:t xml:space="preserve"> формирование у детей культурно-гигиенических навыков.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numPr>
          <w:ilvl w:val="0"/>
          <w:numId w:val="0"/>
        </w:numPr>
        <w:rPr>
          <w:rFonts w:hint="default"/>
          <w:b/>
          <w:bCs/>
          <w:i/>
          <w:iCs/>
          <w:color w:val="FF0000"/>
          <w:sz w:val="32"/>
          <w:szCs w:val="32"/>
          <w:u w:val="none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u w:val="none"/>
          <w:lang w:val="ru-RU"/>
        </w:rPr>
        <w:t xml:space="preserve">Оснащение: 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u w:val="none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-раковины</w:t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-шкафчики для полотенец</w:t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-унитазы</w:t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-зеркала</w:t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3770630" cy="2118360"/>
            <wp:effectExtent l="0" t="0" r="1270" b="15240"/>
            <wp:docPr id="29" name="Picture 29" descr="WP_20171211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WP_20171211_0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3784600" cy="2125980"/>
            <wp:effectExtent l="0" t="0" r="6350" b="7620"/>
            <wp:docPr id="30" name="Picture 30" descr="WP_20171211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WP_20171211_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br w:type="page"/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</w:p>
    <w:p>
      <w:pPr>
        <w:jc w:val="center"/>
        <w:rPr>
          <w:rFonts w:hint="default"/>
          <w:b/>
          <w:bCs/>
          <w:i/>
          <w:iCs/>
          <w:color w:val="E548DB"/>
          <w:sz w:val="36"/>
          <w:szCs w:val="36"/>
          <w:lang w:val="ru-RU"/>
        </w:rPr>
      </w:pPr>
      <w:r>
        <w:rPr>
          <w:rFonts w:hint="default"/>
          <w:b/>
          <w:bCs/>
          <w:i/>
          <w:iCs/>
          <w:color w:val="E548DB"/>
          <w:sz w:val="36"/>
          <w:szCs w:val="36"/>
          <w:lang w:val="ru-RU"/>
        </w:rPr>
        <w:t>Информационная справка о групповой комнате</w:t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Цель:</w:t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использование предметно-пространственной развивающей среды группы для развития и комфортных условий пребывания детей в детском саду.</w:t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4846955" cy="2722880"/>
            <wp:effectExtent l="0" t="0" r="10795" b="1270"/>
            <wp:docPr id="20" name="Picture 20" descr="WP_2017120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WP_20171208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4830445" cy="2713990"/>
            <wp:effectExtent l="0" t="0" r="8255" b="10160"/>
            <wp:docPr id="21" name="Picture 21" descr="WP_2017120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WP_20171205_0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br w:type="page"/>
      </w:r>
    </w:p>
    <w:p>
      <w:pPr>
        <w:jc w:val="center"/>
        <w:rPr>
          <w:rFonts w:hint="default"/>
          <w:b/>
          <w:bCs/>
          <w:i/>
          <w:iCs/>
          <w:color w:val="08F629"/>
          <w:sz w:val="36"/>
          <w:szCs w:val="36"/>
          <w:lang w:val="ru-RU"/>
        </w:rPr>
      </w:pPr>
      <w:r>
        <w:rPr>
          <w:rFonts w:hint="default"/>
          <w:b/>
          <w:bCs/>
          <w:i/>
          <w:iCs/>
          <w:color w:val="08F629"/>
          <w:sz w:val="36"/>
          <w:szCs w:val="36"/>
          <w:lang w:val="ru-RU"/>
        </w:rPr>
        <w:t>Информационная справка о спальной комнате</w:t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 xml:space="preserve">Цель: </w:t>
      </w:r>
      <w:r>
        <w:rPr>
          <w:rFonts w:hint="default"/>
          <w:i/>
          <w:iCs/>
          <w:sz w:val="32"/>
          <w:szCs w:val="32"/>
          <w:lang w:val="ru-RU"/>
        </w:rPr>
        <w:t>удовлетворять потребность детей в дневном отдыхе</w:t>
      </w:r>
    </w:p>
    <w:p>
      <w:pPr>
        <w:rPr>
          <w:rFonts w:hint="default"/>
          <w:sz w:val="32"/>
          <w:szCs w:val="32"/>
          <w:lang w:val="ru-RU"/>
        </w:rPr>
      </w:pP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5014595" cy="2817495"/>
            <wp:effectExtent l="0" t="0" r="14605" b="1905"/>
            <wp:docPr id="22" name="Picture 22" descr="WP_20171201_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WP_20171201_0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t xml:space="preserve">Предметно - пространственная развивающая среда организована с учётом требований ФГОС ДО по образовательным областям: </w:t>
      </w:r>
    </w:p>
    <w:p>
      <w:pPr>
        <w:rPr>
          <w:rFonts w:hint="default"/>
          <w:sz w:val="32"/>
          <w:szCs w:val="32"/>
          <w:lang w:val="ru-RU"/>
        </w:rPr>
      </w:pPr>
    </w:p>
    <w:p>
      <w:pPr>
        <w:numPr>
          <w:ilvl w:val="0"/>
          <w:numId w:val="2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Социально-коммуникативная</w:t>
      </w:r>
    </w:p>
    <w:p>
      <w:pPr>
        <w:numPr>
          <w:ilvl w:val="0"/>
          <w:numId w:val="2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Познавательная</w:t>
      </w:r>
    </w:p>
    <w:p>
      <w:pPr>
        <w:numPr>
          <w:ilvl w:val="0"/>
          <w:numId w:val="2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Речевая</w:t>
      </w:r>
    </w:p>
    <w:p>
      <w:pPr>
        <w:numPr>
          <w:ilvl w:val="0"/>
          <w:numId w:val="2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Художественно-эстетическая</w:t>
      </w:r>
    </w:p>
    <w:p>
      <w:pPr>
        <w:numPr>
          <w:ilvl w:val="0"/>
          <w:numId w:val="2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Физическая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color w:val="604A7B" w:themeColor="accent4" w:themeShade="BF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 xml:space="preserve">                 </w:t>
      </w:r>
      <w:r>
        <w:rPr>
          <w:rFonts w:hint="default"/>
          <w:b/>
          <w:bCs/>
          <w:color w:val="604A7B" w:themeColor="accent4" w:themeShade="BF"/>
          <w:sz w:val="32"/>
          <w:szCs w:val="32"/>
          <w:lang w:val="ru-RU"/>
        </w:rPr>
        <w:t>Центр “Физкультуры”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Направление:</w:t>
      </w:r>
      <w:r>
        <w:rPr>
          <w:rFonts w:hint="default"/>
          <w:sz w:val="32"/>
          <w:szCs w:val="32"/>
          <w:lang w:val="ru-RU"/>
        </w:rPr>
        <w:t xml:space="preserve"> Физическое развитие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Вид деятельности:</w:t>
      </w:r>
      <w:r>
        <w:rPr>
          <w:rFonts w:hint="default"/>
          <w:sz w:val="32"/>
          <w:szCs w:val="32"/>
          <w:lang w:val="ru-RU"/>
        </w:rPr>
        <w:t xml:space="preserve"> двигательная, игровая 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Цель:</w:t>
      </w:r>
      <w:r>
        <w:rPr>
          <w:rFonts w:hint="default"/>
          <w:i/>
          <w:iCs/>
          <w:color w:val="FF0000"/>
          <w:sz w:val="32"/>
          <w:szCs w:val="32"/>
          <w:lang w:val="ru-RU"/>
        </w:rPr>
        <w:t xml:space="preserve"> </w:t>
      </w:r>
      <w:r>
        <w:rPr>
          <w:rFonts w:hint="default"/>
          <w:i/>
          <w:iCs/>
          <w:sz w:val="32"/>
          <w:szCs w:val="32"/>
          <w:lang w:val="ru-RU"/>
        </w:rPr>
        <w:t>развитие физических качеств (скорость, сила, гибкость, выносливость и координация), накопление и обогащение двигательного опыта детей (овладение основными движениями ), формирование у воспитанников потребности в двигательной активности и физичесом совершенствовании.</w:t>
      </w:r>
    </w:p>
    <w:p>
      <w:pPr>
        <w:numPr>
          <w:ilvl w:val="0"/>
          <w:numId w:val="0"/>
        </w:numPr>
        <w:rPr>
          <w:rFonts w:hint="default"/>
          <w:i/>
          <w:iCs/>
          <w:sz w:val="28"/>
          <w:szCs w:val="28"/>
          <w:lang w:val="ru-RU"/>
        </w:rPr>
      </w:pPr>
    </w:p>
    <w:p>
      <w:pPr>
        <w:numPr>
          <w:ilvl w:val="0"/>
          <w:numId w:val="0"/>
        </w:numP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 xml:space="preserve">Задачи: 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-развитие физических качеств (скорость,сила, гибкость, выносливость, координация);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-накопление и обогащение двигательного опыта детей (овладение основными движениями );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-формирование у воспитанников потребности в двигательной активности и физичесом совершенствовании</w:t>
      </w:r>
    </w:p>
    <w:p>
      <w:pPr>
        <w:numPr>
          <w:ilvl w:val="0"/>
          <w:numId w:val="0"/>
        </w:numPr>
        <w:rPr>
          <w:rFonts w:hint="default"/>
          <w:i/>
          <w:iCs/>
          <w:sz w:val="28"/>
          <w:szCs w:val="28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Спортивное оборудование: мячи (большие, малые, средние), мячи-массажёры, скакалки, кегли детские, кольцеброс, обручи, палки гимнастические, мешочки с грузом, флажки, спортивные игры“Городки”, “Твистер”</w:t>
      </w:r>
    </w:p>
    <w:p>
      <w:pPr>
        <w:numPr>
          <w:ilvl w:val="0"/>
          <w:numId w:val="0"/>
        </w:numPr>
        <w:rPr>
          <w:rFonts w:hint="default"/>
          <w:i/>
          <w:iCs/>
          <w:sz w:val="28"/>
          <w:szCs w:val="28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Картотека: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Картотека гимнастики пробуждения, картотека подвижных игр, дорожки для массажа стоп ног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drawing>
          <wp:inline distT="0" distB="0" distL="114300" distR="114300">
            <wp:extent cx="5315585" cy="2987040"/>
            <wp:effectExtent l="0" t="0" r="18415" b="3810"/>
            <wp:docPr id="2" name="Picture 2" descr="WP_20171201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P_20171201_0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i/>
          <w:iCs/>
          <w:sz w:val="32"/>
          <w:szCs w:val="32"/>
          <w:lang w:val="ru-RU"/>
        </w:rPr>
        <w:br w:type="page"/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“Игровой центр”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Направление:</w:t>
      </w:r>
      <w:r>
        <w:rPr>
          <w:rFonts w:hint="default"/>
          <w:i/>
          <w:iCs/>
          <w:sz w:val="32"/>
          <w:szCs w:val="32"/>
          <w:lang w:val="ru-RU"/>
        </w:rPr>
        <w:t xml:space="preserve"> Социально-личностное развитие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Цель:</w:t>
      </w:r>
      <w:r>
        <w:rPr>
          <w:rFonts w:hint="default"/>
          <w:i/>
          <w:iCs/>
          <w:sz w:val="32"/>
          <w:szCs w:val="32"/>
          <w:lang w:val="ru-RU"/>
        </w:rPr>
        <w:t xml:space="preserve"> развивать у детей умение играть в различные сюжетно-ролевые игры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t>Происходит формирование у детей основ культуры общения, закрепление знаний об окружающей действительности и жизни в социуме, через решение проблемных ситуаций через игровую, театрализованную деятельность, ОБЖ. В “Игровом центре” оборудование и пособия размещены таким образом, чтобы дети могли легко подбирать игрушки, комбинировать их “под свои игровые творческие замыслы”. В связи с тем, что игровые замыслы старших дошкольников весьма разнообразны, вся игровая стационарная мебель используется многофункционально для различных сюжетно-ролевых игр. Дети по своему желанию выбирают сюжет будущей игры для свободного построения игрового пространства. В “Игровой центр” входят: “Супермаркет”, “Кухня”, “Больница”, “Парикмахерская”.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t>“Кухня”</w:t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drawing>
          <wp:inline distT="0" distB="0" distL="114300" distR="114300">
            <wp:extent cx="5773420" cy="3243580"/>
            <wp:effectExtent l="0" t="0" r="17780" b="13970"/>
            <wp:docPr id="3" name="Picture 3" descr="WP_2017120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P_20171205_0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i/>
          <w:iCs/>
          <w:sz w:val="32"/>
          <w:szCs w:val="32"/>
          <w:lang w:val="ru-RU"/>
        </w:rPr>
      </w:pPr>
      <w:r>
        <w:rPr>
          <w:rFonts w:hint="default"/>
          <w:i/>
          <w:iCs/>
          <w:sz w:val="32"/>
          <w:szCs w:val="32"/>
          <w:lang w:val="ru-RU"/>
        </w:rPr>
        <w:br w:type="page"/>
      </w: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t>“Парикмахерская”</w:t>
      </w:r>
      <w:r>
        <w:rPr>
          <w:rFonts w:hint="default"/>
          <w:b/>
          <w:bCs/>
          <w:i/>
          <w:iCs/>
          <w:sz w:val="32"/>
          <w:szCs w:val="32"/>
          <w:lang w:val="ru-RU"/>
        </w:rPr>
        <w:drawing>
          <wp:inline distT="0" distB="0" distL="114300" distR="114300">
            <wp:extent cx="5977890" cy="3358515"/>
            <wp:effectExtent l="0" t="0" r="3810" b="13335"/>
            <wp:docPr id="4" name="Picture 4" descr="WP_20171201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P_20171201_0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t>“Магазин”</w:t>
      </w: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drawing>
          <wp:inline distT="0" distB="0" distL="114300" distR="114300">
            <wp:extent cx="4180840" cy="2348865"/>
            <wp:effectExtent l="0" t="0" r="13335" b="10160"/>
            <wp:docPr id="5" name="Picture 5" descr="WP_2017120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P_20171205_0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084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br w:type="page"/>
      </w: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t>“Больница”</w:t>
      </w: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drawing>
          <wp:inline distT="0" distB="0" distL="114300" distR="114300">
            <wp:extent cx="5309235" cy="2982595"/>
            <wp:effectExtent l="0" t="0" r="5715" b="8255"/>
            <wp:docPr id="6" name="Picture 6" descr="WP_20171208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P_20171208_0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ind w:firstLine="2570" w:firstLineChars="800"/>
        <w:jc w:val="both"/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  <w:t>Центр “Безопасности”</w:t>
      </w: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drawing>
          <wp:inline distT="0" distB="0" distL="114300" distR="114300">
            <wp:extent cx="5349875" cy="3006090"/>
            <wp:effectExtent l="0" t="0" r="3175" b="3810"/>
            <wp:docPr id="7" name="Picture 7" descr="WP_20171205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P_20171205_0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Цель: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 формировать основы безопасности поведения на дорогах и в транспорте, знакомить с ПДД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Центр “Безопасности” отражает безопасность на улице (ПДД) и пожарную безопасность. Он оснащён необходимыми атрибутами, игрушками, дидактическими играми. Есть так же полка с разметкой улиц и дорог, и дополнительным набором дорожных</w:t>
      </w:r>
      <w:r>
        <w:rPr>
          <w:rFonts w:hint="default"/>
          <w:b w:val="0"/>
          <w:bCs w:val="0"/>
          <w:i/>
          <w:iCs/>
          <w:sz w:val="28"/>
          <w:szCs w:val="28"/>
          <w:lang w:val="ru-RU"/>
        </w:rPr>
        <w:t xml:space="preserve"> 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знаков</w:t>
      </w:r>
    </w:p>
    <w:p>
      <w:pPr>
        <w:numPr>
          <w:ilvl w:val="0"/>
          <w:numId w:val="0"/>
        </w:numPr>
        <w:ind w:firstLine="2409" w:firstLineChars="750"/>
        <w:jc w:val="both"/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</w:pPr>
    </w:p>
    <w:p>
      <w:pPr>
        <w:numPr>
          <w:ilvl w:val="0"/>
          <w:numId w:val="0"/>
        </w:numPr>
        <w:ind w:firstLine="2409" w:firstLineChars="750"/>
        <w:jc w:val="both"/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  <w:t>Центр “Развития речи”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Направление: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 Речевое развитие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Цель: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 обогащать словарь детей через знакомство с различными жанрами литературных произведений, развивать связную речь через использование речевых и дидактических игр.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В центре “Развития речи” находятся различные дидактические игры по развитию речи, наборы парных картинок, разрезные сюжетные картинки, картотека дидактических игр. Центр “Развития речи” включает в себя так же книжный уголок. Содержание книжного уголка соответствует возрастным особенностям детей данного возраста. В нём находятся книги с художественными произведениями детских писателей, сказками по тематике недели. Главный принцип подбора книгоиздательской продукции - минимум текста - максимум иллюстраций.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3618865" cy="1819910"/>
            <wp:effectExtent l="0" t="0" r="635" b="8890"/>
            <wp:docPr id="8" name="Picture 8" descr="WP_20171201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P_20171201_0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3637280" cy="2044065"/>
            <wp:effectExtent l="0" t="0" r="1270" b="13335"/>
            <wp:docPr id="9" name="Picture 9" descr="WP_20171205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P_20171205_0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  <w:t>Центр “Природы”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Направление: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 Познавательное развитие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 xml:space="preserve">Цель: </w:t>
      </w:r>
      <w:r>
        <w:rPr>
          <w:rFonts w:hint="default"/>
          <w:b w:val="0"/>
          <w:bCs w:val="0"/>
          <w:i/>
          <w:iCs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  <w:t xml:space="preserve">воспитывать любовь детей к природе, пониманию значимости её в жизни людей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Центр “Природы” содержит в себе различные виды комнатных растений, инструменты по уходу за этими растениями: совочки для рыхления, лейки, фартуки и др. В данном центре присутствуют дидактические игры экологической направленности, иллюстрации, художественная литература. Важным составляющим центра является календарь природы и погоды.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3894455" cy="2188210"/>
            <wp:effectExtent l="0" t="0" r="10795" b="2540"/>
            <wp:docPr id="10" name="Picture 10" descr="WP_20171208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P_20171208_0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3977005" cy="2234565"/>
            <wp:effectExtent l="0" t="0" r="4445" b="13335"/>
            <wp:docPr id="15" name="Picture 15" descr="WP_20171201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WP_20171201_0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2" w:firstLineChars="150"/>
        <w:jc w:val="both"/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</w:pPr>
    </w:p>
    <w:p>
      <w:pPr>
        <w:numPr>
          <w:ilvl w:val="0"/>
          <w:numId w:val="0"/>
        </w:numPr>
        <w:ind w:firstLine="482" w:firstLineChars="150"/>
        <w:jc w:val="both"/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</w:pPr>
      <w:bookmarkStart w:id="0" w:name="_GoBack"/>
      <w:bookmarkEnd w:id="0"/>
      <w:r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  <w:t>Центр “Опытно-эксперементальной деятельности”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 xml:space="preserve">Цель: 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развивать в детях любознательность и активность путём опытно-эксперементальной деятельности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Центр представлен различным материалом для осуществления опытной деятельности, а так же литературой по данной тематике. Здесь наши дети могут превращаться в любознательных испытателей, проводить несложные опыты, определять свойства различных природных материалов.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5408930" cy="3039110"/>
            <wp:effectExtent l="0" t="0" r="1270" b="8890"/>
            <wp:docPr id="17" name="Picture 17" descr="WP_20171201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WP_20171201_0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ind w:firstLine="2409" w:firstLineChars="750"/>
        <w:jc w:val="both"/>
        <w:rPr>
          <w:rFonts w:hint="default"/>
          <w:b/>
          <w:bCs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sz w:val="32"/>
          <w:szCs w:val="32"/>
          <w:lang w:val="ru-RU"/>
        </w:rPr>
        <w:t>Центр“Космос”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 xml:space="preserve">Цель: 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знакомить детей с миром космоса, его многообразия и значимостью нашей планеты Земля для жизни людей.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В Центре находятся наглядные пособия, иллюстрации, дидактическая игра, глобус для ознакомления детей с миром космоса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5577840" cy="3133725"/>
            <wp:effectExtent l="0" t="0" r="3810" b="9525"/>
            <wp:docPr id="23" name="Picture 23" descr="WP_20171201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WP_20171201_0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br w:type="page"/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color w:val="7030A0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7030A0"/>
          <w:sz w:val="32"/>
          <w:szCs w:val="32"/>
          <w:lang w:val="ru-RU"/>
        </w:rPr>
        <w:t>Центр “Математики”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i/>
          <w:iCs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 xml:space="preserve">Цель: </w:t>
      </w:r>
      <w:r>
        <w:rPr>
          <w:rFonts w:hint="default"/>
          <w:b w:val="0"/>
          <w:bCs w:val="0"/>
          <w:i/>
          <w:iCs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  <w:t>развивать способность детей решать интеллектуальные и логические задачи, овладевать необходимыми умениями и навыками элементарной математической деятельности через математические игры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Центр “Математики” имеет важные развивающие функции. В данном центре располагаются наборы цифр, кубиков с цифрами, головоломки, счётные палочки, магнитная касса цифр, счёты, наборы геометрических фигур, дидактические игры математической направленности, цветные счётые палочки Кюизенера. При выборе игр предпочтение отдавалось играм, стимулирующим математическое развитие детей.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Центр решает следующие задачи: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-целенаправленное формирование у детей интереса к элементарной математической деятельности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-воспитание у детей потребоности занимать своё свободное время не только интересными, но и требующими умственного напряжения, интеллектуального усилия играми.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4374515" cy="2457450"/>
            <wp:effectExtent l="0" t="0" r="6985" b="0"/>
            <wp:docPr id="24" name="Picture 24" descr="WP_20171201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WP_20171201_0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br w:type="page"/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  <w:t>Центр “Творчество”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Направление: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 Художественно-эстетическое развитие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Цель: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 развивать художественно-эстетический вкус, способность овладевать навыками рисования, лепки и аппликации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В центре “Творчество” находится материал и оборудование для художественно-творческой деятельности: рисования, лепки и аппликаций. Материалы и оборудование: карандаши, кисти, краски, трафареты, бумага, клей, раскраски, пластилин. Альбомы: “Народные росписи”, “Хохломская роспись”, “Городецкая роспись”, “Чудесная гжель”.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4246245" cy="2385695"/>
            <wp:effectExtent l="0" t="0" r="1905" b="14605"/>
            <wp:docPr id="25" name="Picture 25" descr="WP_20171208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WP_20171208_0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2788285" cy="2938780"/>
            <wp:effectExtent l="0" t="0" r="13970" b="12065"/>
            <wp:docPr id="31" name="Picture 31" descr="WP_20171213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WP_20171213_0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828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604A7B" w:themeColor="accent4" w:themeShade="BF"/>
          <w:sz w:val="32"/>
          <w:szCs w:val="32"/>
          <w:shd w:val="clear" w:color="auto" w:fill="auto"/>
          <w:lang w:val="ru-RU"/>
        </w:rPr>
        <w:t>Центр “Музыкально-театрализованной деятельности”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shd w:val="clear" w:color="auto" w:fill="auto"/>
          <w:lang w:val="ru-RU"/>
        </w:rPr>
        <w:t xml:space="preserve">Цель: </w:t>
      </w: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развивать музыкальные и театральные способности детей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Центр “Музыкально-театрализованной деятельности” - это важный объект развивающей среды, поскольку именно театрализованная деятельность помогает сплотить группу, объединить детей интересной идеей. В театре дети раскрываются, демонстрируя все грани своего характера. Здесь размещаются: ширма, различные виды театров, маски, атрибуты для разыгрывания сказок. Центр представлен различного вида театрами (кукольный, магнитный, бибабо, настольный). Музыкальное равитие детей сводится не только к занятиям с педагогом, но и возможностью самостаятельно играть, импровизировать, свободно музицировать. В центре представлены различные музыкальные инструменты.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5739130" cy="3224530"/>
            <wp:effectExtent l="0" t="0" r="13970" b="13970"/>
            <wp:docPr id="26" name="Picture 26" descr="WP_20171208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WP_20171208_0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br w:type="page"/>
      </w:r>
    </w:p>
    <w:p>
      <w:pPr>
        <w:numPr>
          <w:ilvl w:val="0"/>
          <w:numId w:val="0"/>
        </w:numPr>
        <w:ind w:firstLine="803" w:firstLineChars="250"/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  <w:t>“Нравственно-патриотический” Центр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>Цель:</w:t>
      </w:r>
      <w:r>
        <w:rPr>
          <w:rFonts w:hint="default"/>
          <w:b/>
          <w:bCs/>
          <w:i/>
          <w:iCs/>
          <w:color w:val="604A7B" w:themeColor="accent4" w:themeShade="BF"/>
          <w:sz w:val="32"/>
          <w:szCs w:val="32"/>
          <w:lang w:val="ru-RU"/>
        </w:rPr>
        <w:t xml:space="preserve"> </w:t>
      </w:r>
      <w:r>
        <w:rPr>
          <w:rFonts w:hint="default"/>
          <w:b w:val="0"/>
          <w:bCs w:val="0"/>
          <w:i/>
          <w:iCs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  <w:t>воспитывать у детей патриотизм, любовь к Родине и своему родному краю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>В “Нравственно-патриотическом” центре размещена государственная символика России: флаг России, герб России, портрет президента, государственный гимн России. В нём находятся пособия, отражающие многонациональность нашей Родины, материалы, фотографии и книги о нашем городе.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5836920" cy="3279140"/>
            <wp:effectExtent l="0" t="0" r="11430" b="16510"/>
            <wp:docPr id="27" name="Picture 27" descr="WP_20171201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WP_20171201_0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br w:type="page"/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i/>
          <w:iCs/>
          <w:color w:val="7030A0"/>
          <w:sz w:val="32"/>
          <w:szCs w:val="32"/>
          <w:lang w:val="ru-RU"/>
        </w:rPr>
      </w:pPr>
      <w:r>
        <w:rPr>
          <w:rFonts w:hint="default"/>
          <w:b/>
          <w:bCs/>
          <w:i/>
          <w:iCs/>
          <w:color w:val="7030A0"/>
          <w:sz w:val="32"/>
          <w:szCs w:val="32"/>
          <w:lang w:val="ru-RU"/>
        </w:rPr>
        <w:t>Центр уединения “Подводный мир”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i/>
          <w:iCs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i/>
          <w:iCs/>
          <w:color w:val="FF0000"/>
          <w:sz w:val="32"/>
          <w:szCs w:val="32"/>
          <w:lang w:val="ru-RU"/>
        </w:rPr>
        <w:t xml:space="preserve">Цель: </w:t>
      </w:r>
      <w:r>
        <w:rPr>
          <w:rFonts w:hint="default"/>
          <w:b w:val="0"/>
          <w:bCs w:val="0"/>
          <w:i/>
          <w:iCs/>
          <w:color w:val="000000" w:themeColor="text1"/>
          <w:sz w:val="32"/>
          <w:szCs w:val="32"/>
          <w:lang w:val="ru-RU"/>
          <w14:textFill>
            <w14:solidFill>
              <w14:schemeClr w14:val="tx1"/>
            </w14:solidFill>
          </w14:textFill>
        </w:rPr>
        <w:t xml:space="preserve">способствовать снятию нервного напряжения и релаксации ребёнка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t xml:space="preserve">Центр уединения “Подводный мир” позволяет ребёнку уединиться на время для того, чтобы его нервная система расслабилась, восстановилась от нервного напряжения и ребёнок мог вернуться к детям для дальнейшей игровой деятельности. В данном центре располагается ширма, столик, трафареты, иллюстрационный материал, карандаши, бумага, массажный коврик, аквариум. </w:t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  <w:r>
        <w:rPr>
          <w:rFonts w:hint="default"/>
          <w:b w:val="0"/>
          <w:bCs w:val="0"/>
          <w:i/>
          <w:iCs/>
          <w:sz w:val="32"/>
          <w:szCs w:val="32"/>
          <w:lang w:val="ru-RU"/>
        </w:rPr>
        <w:drawing>
          <wp:inline distT="0" distB="0" distL="114300" distR="114300">
            <wp:extent cx="5756275" cy="3234055"/>
            <wp:effectExtent l="0" t="0" r="15875" b="4445"/>
            <wp:docPr id="28" name="Picture 28" descr="WP_20171201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WP_20171201_0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i/>
          <w:iCs/>
          <w:sz w:val="32"/>
          <w:szCs w:val="32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BEA1F"/>
    <w:multiLevelType w:val="singleLevel"/>
    <w:tmpl w:val="5A2BEA1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A2BEF3A"/>
    <w:multiLevelType w:val="singleLevel"/>
    <w:tmpl w:val="5A2BEF3A"/>
    <w:lvl w:ilvl="0" w:tentative="0">
      <w:start w:val="1"/>
      <w:numFmt w:val="decimal"/>
      <w:suff w:val="space"/>
      <w:lvlText w:val="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004A4B"/>
    <w:rsid w:val="1E8A42D0"/>
    <w:rsid w:val="23133448"/>
    <w:rsid w:val="296D1E75"/>
    <w:rsid w:val="3473522C"/>
    <w:rsid w:val="4D663C53"/>
    <w:rsid w:val="544D3E2F"/>
    <w:rsid w:val="5FCF6435"/>
    <w:rsid w:val="62DE4F6D"/>
    <w:rsid w:val="66D95F51"/>
    <w:rsid w:val="704F2E6E"/>
    <w:rsid w:val="716F479D"/>
    <w:rsid w:val="7B874355"/>
    <w:rsid w:val="7BC762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GIF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2017-12-09T13:13:00Z</dcterms:created>
  <dc:creator>User</dc:creator>
  <cp:lastModifiedBy>User</cp:lastModifiedBy>
  <dcterms:modified xsi:type="dcterms:W3CDTF">2017-12-15T18:53:32Z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