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823E0D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823E0D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E71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823E0D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E71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823E0D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32"/>
            </w:tblGrid>
            <w:tr w:rsidR="00823E0D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E0D" w:rsidRDefault="00E71115">
                  <w:pPr>
                    <w:jc w:val="center"/>
                  </w:pPr>
                  <w:r>
                    <w:rPr>
                      <w:color w:val="000000"/>
                    </w:rPr>
                    <w:t>на 1 января 2022 г.</w:t>
                  </w: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E71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01.01.2022</w:t>
            </w:r>
          </w:p>
        </w:tc>
      </w:tr>
      <w:tr w:rsidR="00823E0D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муниципальное дошкольное образовательное учреждение "Детский сад № 100"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84934433</w:t>
            </w:r>
          </w:p>
        </w:tc>
      </w:tr>
      <w:tr w:rsidR="00823E0D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  <w:jc w:val="center"/>
            </w:pPr>
          </w:p>
        </w:tc>
      </w:tr>
      <w:tr w:rsidR="00823E0D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rPr>
                <w:color w:val="000000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5"/>
            </w:tblGrid>
            <w:tr w:rsidR="00823E0D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E0D" w:rsidRDefault="00E71115">
                  <w:pPr>
                    <w:jc w:val="center"/>
                  </w:pPr>
                  <w:r>
                    <w:rPr>
                      <w:color w:val="000000"/>
                    </w:rPr>
                    <w:t>78701000</w:t>
                  </w: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</w:tr>
      <w:tr w:rsidR="00823E0D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E7111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органа, </w:t>
            </w:r>
            <w:r>
              <w:rPr>
                <w:color w:val="000000"/>
              </w:rPr>
              <w:br/>
              <w:t>осуществляющего</w:t>
            </w:r>
            <w:r>
              <w:rPr>
                <w:color w:val="000000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  <w:jc w:val="center"/>
            </w:pPr>
          </w:p>
        </w:tc>
      </w:tr>
      <w:tr w:rsidR="00823E0D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E71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02119231</w:t>
            </w:r>
          </w:p>
        </w:tc>
      </w:tr>
      <w:tr w:rsidR="00823E0D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823E0D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E71115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  <w:jc w:val="center"/>
            </w:pPr>
          </w:p>
        </w:tc>
      </w:tr>
      <w:tr w:rsidR="00823E0D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E71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E71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0503730</w:t>
            </w:r>
          </w:p>
        </w:tc>
      </w:tr>
      <w:tr w:rsidR="00823E0D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E71115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E71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823E0D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rPr>
                <w:color w:val="000000"/>
              </w:rPr>
            </w:pPr>
          </w:p>
        </w:tc>
      </w:tr>
    </w:tbl>
    <w:p w:rsidR="00823E0D" w:rsidRDefault="00823E0D">
      <w:pPr>
        <w:rPr>
          <w:vanish/>
        </w:rPr>
      </w:pPr>
      <w:bookmarkStart w:id="2" w:name="__bookmark_2"/>
      <w:bookmarkEnd w:id="2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823E0D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23E0D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Общие сведения</w:t>
            </w:r>
          </w:p>
        </w:tc>
      </w:tr>
      <w:tr w:rsidR="00823E0D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23E0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МДОУ "Детский сад № 100" является муниципальным образовательным учреждением. Место нахождения (юридический и фактический адрес) детского сада 150065, г. Ярославль, ул. Сосновая, 14-а. 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Учреждение является некоммерческой организацией и руководствуется в своей деятельности Конституцией Российской Федерации, федеральными законами иными правовыми актами Российской Федерации, законами и иными правовыми актами Ярославской области, муницип</w:t>
                  </w:r>
                  <w:r>
                    <w:rPr>
                      <w:color w:val="000000"/>
                      <w:sz w:val="28"/>
                      <w:szCs w:val="28"/>
                    </w:rPr>
                    <w:t>альными правовыми актами города Ярославля, Уставом.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Учредителем учреждения и собственником имущества детского сада является городской округ город Ярославль. Функции и полномочия учредителя учреждения от имени города Ярославля осуществляют: департамент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образования мэрии городя Ярославля, мэрия города Ярославля - в части принятия решения о создании, реорганизации, изменения типа и ликвидации бюджетного учреждения, его переименовании, создании и ликвидации его филиалов, открытия и закрытии его представите</w:t>
                  </w:r>
                  <w:r>
                    <w:rPr>
                      <w:color w:val="000000"/>
                      <w:sz w:val="28"/>
                      <w:szCs w:val="28"/>
                    </w:rPr>
                    <w:t>льств, комитет по управлению муниципальным имуществом мэрии города Ярославля - в части управления, использования и распоряжения муниципальным имуществом. 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</w:t>
                  </w:r>
                  <w:r>
                    <w:rPr>
                      <w:color w:val="000000"/>
                      <w:sz w:val="24"/>
                      <w:szCs w:val="24"/>
                    </w:rPr>
                    <w:t>МДОУ «Детский сад № 100» по своей организационно-правовой форме является бюджетным учреждением,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по виду – детский сад комбинированного вида. Детский сад имеет самостоятельный баланс, лицевые счета в департаменте финансов мэрии города Ярославля 803.03.490.3, 803.03.490.5 и 803.03.490.6, открытые в установленном порядке.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Между департаментом образ</w:t>
                  </w:r>
                  <w:r>
                    <w:rPr>
                      <w:color w:val="000000"/>
                      <w:sz w:val="28"/>
                      <w:szCs w:val="28"/>
                    </w:rPr>
                    <w:t>ования мэрии городя Ярославля и МДОУ «Детский сад № 100» заключены следующие соглашения: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б/н от 29 декабря 2020 года в сумме 39 068 596 рублей 06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копеек;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 соглашение 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порядке и условиях предоставления субсидии на иные цели № 1 от 29 декабря 2020 года в сумме 8519350 рублей 77 копеек;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 соглашение о порядке и условиях предоставления субсидии на иные цели № 2 от 29 апреля 2021 года в сумме 11000 рублей 00 копеек.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 </w:t>
                  </w: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</w:tr>
      <w:tr w:rsidR="00823E0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823E0D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учреждения»</w:t>
            </w:r>
          </w:p>
        </w:tc>
      </w:tr>
      <w:tr w:rsidR="00823E0D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23E0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4"/>
                      <w:szCs w:val="24"/>
                    </w:rPr>
                    <w:t>Функции и полномочия учредителя детского сада от имени города Ярославля осуществляет департамент образования мэрии города Ярославля. Функции и полномочия собственника имущества детского сада осущест</w:t>
                  </w:r>
                  <w:r>
                    <w:rPr>
                      <w:color w:val="000000"/>
                      <w:sz w:val="24"/>
                      <w:szCs w:val="24"/>
                    </w:rPr>
                    <w:t>вляет комитет по управлению муниципальным имуществом мэрии города Ярославля. Детский сад отвечает по своим обязательствам всем находящимся у него на праве оперативного управления имуществом, за исключением особо ценного движимого имущества.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Ведение бухгалт</w:t>
                  </w:r>
                  <w:r>
                    <w:rPr>
                      <w:color w:val="000000"/>
                      <w:sz w:val="28"/>
                      <w:szCs w:val="28"/>
                    </w:rPr>
                    <w:t>ерского учёта в детском саду производится строго в соответствии Инструкции № 157н от 01.12.2010 г. Инструкция по применению Плана счетов бухгалтерского учёта бюджетных учреждений устанавливает единый порядок отражения государственными бюджетными учреждения</w:t>
                  </w:r>
                  <w:r>
                    <w:rPr>
                      <w:color w:val="000000"/>
                      <w:sz w:val="28"/>
                      <w:szCs w:val="28"/>
                    </w:rPr>
                    <w:t>ми, в отношении которых в соответствии с положениями 15 и 16 статьи 33 ФЗ от 08 мая 2010 г. № 83-ФЗ "О внесении изменений в отдельные законодательные акты РФ в связи с совершенствованием правового положения муниципальных учреждений" органами местного самоу</w:t>
                  </w:r>
                  <w:r>
                    <w:rPr>
                      <w:color w:val="000000"/>
                      <w:sz w:val="28"/>
                      <w:szCs w:val="28"/>
                    </w:rPr>
                    <w:t>правления принято решение о предоставлении субсидий. приказ 389 н от 29.08.2014 г. о внесении изменений в приказ министерства РФ от 01.12.2010 г. № 157 н "Об утверждении единого плана счетов бухгалтерского учёта" с 19 июня 2015 г. вступает в действие прика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 Министерства Финансов РФ от 30.03.2015 г. №52 н "об утверждении форм первичных учётных документов и регистров бухгалтерского учёта, применяемых органами государственной власти, органами управления государственными внебюджетными фондами, государственными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(муниципальными) учреждениями, и Методических указаний по их применению" В соответствии с изменениями, внесёнными приказом Минфина России от 06.08.2015 г. № 124н в приказ Минфина России от 01.12.2010 г. № 157н в качестве аналитического кода по классификаци</w:t>
                  </w:r>
                  <w:r>
                    <w:rPr>
                      <w:color w:val="000000"/>
                      <w:sz w:val="28"/>
                      <w:szCs w:val="28"/>
                    </w:rPr>
                    <w:t>онному признаку поступлений и выбытий бюджетных средств используется Классификационный признак счетов (КПС)со структурой: - доходов (КДБ); - расходов (КРБ); - источников финансирования дефицитов бюджетов (КИФ). Федеральными стандартами бухгалтерского учета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для организаций государственного сектора, утвержденными приказами:</w:t>
                  </w:r>
                </w:p>
                <w:p w:rsidR="00823E0D" w:rsidRDefault="00823E0D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0"/>
                    <w:gridCol w:w="9726"/>
                  </w:tblGrid>
                  <w:tr w:rsidR="00823E0D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•</w:t>
                        </w:r>
                      </w:p>
                    </w:tc>
                    <w:tc>
                      <w:tcPr>
                        <w:tcW w:w="97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Приказ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 – Приказ 2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56н)</w:t>
                        </w:r>
                      </w:p>
                    </w:tc>
                  </w:tr>
                  <w:tr w:rsidR="00823E0D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•</w:t>
                        </w:r>
                      </w:p>
                    </w:tc>
                    <w:tc>
                      <w:tcPr>
                        <w:tcW w:w="97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Приказ Минфина России от 31.12.2016 N 257н "Об утверждении федерального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стандарта бухгалтерского учета для организаций государственного сектора "Основные средства" (далее – Приказ 257н)</w:t>
                        </w:r>
                      </w:p>
                    </w:tc>
                  </w:tr>
                  <w:tr w:rsidR="00823E0D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•</w:t>
                        </w:r>
                      </w:p>
                    </w:tc>
                    <w:tc>
                      <w:tcPr>
                        <w:tcW w:w="97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Приказ Минфина России от 31.12.2016 N 258н "Об утверждении федерального стандарта бухгалтерского учета для организаций государственного сектора "Аренда" (далее – Приказ 258н)</w:t>
                        </w:r>
                      </w:p>
                    </w:tc>
                  </w:tr>
                  <w:tr w:rsidR="00823E0D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•</w:t>
                        </w:r>
                      </w:p>
                    </w:tc>
                    <w:tc>
                      <w:tcPr>
                        <w:tcW w:w="97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Приказ Минфина России от 31.12.2016 N 259н "Об утверждении федерального станда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рта бухгалтерского учета для организаций государственного сектора "Обесценение активов" (далее – Приказ 259н)</w:t>
                        </w:r>
                      </w:p>
                    </w:tc>
                  </w:tr>
                  <w:tr w:rsidR="00823E0D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•</w:t>
                        </w:r>
                      </w:p>
                    </w:tc>
                    <w:tc>
                      <w:tcPr>
                        <w:tcW w:w="97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Приказ Минфина России от 31.12.2016 N 260н "Об утверждении федерального стандарта бухгалтерского учета для организаций государственного сектора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"Представление бухгалтерской (финансовой) отчетности" (далее – Приказ 260н)</w:t>
                        </w:r>
                      </w:p>
                    </w:tc>
                  </w:tr>
                  <w:tr w:rsidR="00823E0D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•</w:t>
                        </w:r>
                      </w:p>
                    </w:tc>
                    <w:tc>
                      <w:tcPr>
                        <w:tcW w:w="97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Приказ Минфина России от 30.12.2017 N 274н "Об утверждении федерального стандарта бухгалтерского учета для организаций государственного сектора "Учетная политика, оценочные зна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чения и ошибки" (далее – Приказ 274н)</w:t>
                        </w:r>
                      </w:p>
                    </w:tc>
                  </w:tr>
                  <w:tr w:rsidR="00823E0D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•</w:t>
                        </w:r>
                      </w:p>
                    </w:tc>
                    <w:tc>
                      <w:tcPr>
                        <w:tcW w:w="97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Приказ Минфина России от 30.12.2017 N 275н "Об утверждении федерального стандарта бухгалтерского учета для организаций государственного сектора "События после отчетной даты" (далее – Приказ 275н)</w:t>
                        </w:r>
                      </w:p>
                    </w:tc>
                  </w:tr>
                  <w:tr w:rsidR="00823E0D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•</w:t>
                        </w:r>
                      </w:p>
                    </w:tc>
                    <w:tc>
                      <w:tcPr>
                        <w:tcW w:w="97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Приказ Минфина Р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оссии от 30.12.2017 N 278н "Об утверждении федерального стандарта бухгалтерского учета для организаций государственного сектора "Отчет о движении денежных средств" (далее – Приказ 278н)</w:t>
                        </w:r>
                      </w:p>
                    </w:tc>
                  </w:tr>
                  <w:tr w:rsidR="00823E0D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•</w:t>
                        </w:r>
                      </w:p>
                    </w:tc>
                    <w:tc>
                      <w:tcPr>
                        <w:tcW w:w="97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Приказ Минфина России от 27.02.2018 N 32н "Об утверждении федерального стандарта бухгалтерского учета для организаций государственного сектора "Доходы" (далее – Приказ 32н)</w:t>
                        </w:r>
                      </w:p>
                    </w:tc>
                  </w:tr>
                  <w:tr w:rsidR="00823E0D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•</w:t>
                        </w:r>
                      </w:p>
                    </w:tc>
                    <w:tc>
                      <w:tcPr>
                        <w:tcW w:w="97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Приказ Минфина России от 30.05.2018 N 122н "Об утверждении федерального стандарт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 бухгалтерского учета для организаций государственного сектора "Влияние изменений курсов иностранных валют"</w:t>
                        </w:r>
                      </w:p>
                    </w:tc>
                  </w:tr>
                  <w:tr w:rsidR="00823E0D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•</w:t>
                        </w:r>
                      </w:p>
                    </w:tc>
                    <w:tc>
                      <w:tcPr>
                        <w:tcW w:w="97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Приказ Минфина России от 30.05.2018 N 124н "Об утверждении федерального стандарта бухгалтерского учета для организаций государственного сектора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"Резервы. Раскрытие информации об условных обязательствах и условных активах" (далее – Приказ 124н)</w:t>
                        </w:r>
                      </w:p>
                    </w:tc>
                  </w:tr>
                  <w:tr w:rsidR="00823E0D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•</w:t>
                        </w:r>
                      </w:p>
                    </w:tc>
                    <w:tc>
                      <w:tcPr>
                        <w:tcW w:w="97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Приказ Минфина России от 29.06.2018 N 145н "Об утверждении федерального стандарта бухгалтерского учета для организаций государственного сектора "Долгосро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чные договоры" (далее – Приказ 145н)</w:t>
                        </w:r>
                      </w:p>
                    </w:tc>
                  </w:tr>
                  <w:tr w:rsidR="00823E0D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•</w:t>
                        </w:r>
                      </w:p>
                    </w:tc>
                    <w:tc>
                      <w:tcPr>
                        <w:tcW w:w="97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Приказ Минфина России от 07.12.2018 N 256н "Об утверждении федерального стандарта бухгалтерского учета для организаций государственного сектора "Запасы" (далее – СГС «Запасы»)</w:t>
                        </w:r>
                      </w:p>
                    </w:tc>
                  </w:tr>
                </w:tbl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Лимиты бюджетных обязательств Учрежден</w:t>
                  </w:r>
                  <w:r>
                    <w:rPr>
                      <w:color w:val="000000"/>
                      <w:sz w:val="28"/>
                      <w:szCs w:val="28"/>
                    </w:rPr>
                    <w:t>ие устанавливает в рамках исполнения бюджета Ярославской области и города Ярославля. Источниками финансирования финансово-хозяйственной деятельности Учреждения являются (Устав Учреждения. Разрешение на осуществление приносящей доход деятельности): - финанс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ирование субсидии на выполнение муниципального задания за счет средств городского и областного бюджетов; - финансирование субсидии на иные цели счет средств городского и областного бюджетов; - доходы от оказания платных услуг, -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поступление в возмещение ущ</w:t>
                  </w:r>
                  <w:r>
                    <w:rPr>
                      <w:color w:val="000000"/>
                      <w:sz w:val="28"/>
                      <w:szCs w:val="28"/>
                    </w:rPr>
                    <w:t>ерба, причиненного имуществу, а также штрафные санкции к организациям, нарушившим условия заключенных хозяйственных договоров, -безвозмездные поступления средств в рамках целевых программ. Учреждением при осуществлении своей деятельности применяются следую</w:t>
                  </w:r>
                  <w:r>
                    <w:rPr>
                      <w:color w:val="000000"/>
                      <w:sz w:val="28"/>
                      <w:szCs w:val="28"/>
                    </w:rPr>
                    <w:t>щие коды вида финансового обеспечения (деятельности) КФО (основание: п.21 Инструкции № 157н): «2» - приносящая доход деятельность (собственные доходы); «3» - средства во временном распоряжении; «4» - субсидия на выполнение государственного (муниципального)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задания; «5» - субсидии на иные цели. МДОУ "Детский сад № 100" имеет три лицевых счёта в департаменте финансов: 803.03.490.3, 803.03.490.5. 803.03.490.6 учредителем является департамент образования мэрии города Ярославля.</w:t>
                  </w: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</w:tr>
      <w:tr w:rsidR="00823E0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823E0D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учреждения»</w:t>
            </w:r>
          </w:p>
        </w:tc>
      </w:tr>
      <w:tr w:rsidR="00823E0D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23E0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4"/>
                      <w:szCs w:val="24"/>
                    </w:rPr>
                    <w:t>Предметом деятельности детского сада является выполнение работ (оказание услуг) в целях обеспечения реализации полномочий Учредителя в сфере дошкольного образования в соответствии с действующим законодательств</w:t>
                  </w:r>
                  <w:r>
                    <w:rPr>
                      <w:color w:val="000000"/>
                      <w:sz w:val="24"/>
                      <w:szCs w:val="24"/>
                    </w:rPr>
                    <w:t>ом. В детском саду организованы платные образовательные услуги. В учреждении функционирует 12 групп, из них 6 групп комбинированных ТНР и 1 группа компенсирующая ТНР.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Планируемое число обучающихся на 2020 год установлено – 304 человека. Исполнено на 01.01.2022 год – 295 человека. Муниципальное задание по количеству выполнено на 97 %.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 Детский сад разделен на 12 групп. В каждой группе есть игровая, спальня, туалетна</w:t>
                  </w:r>
                  <w:r>
                    <w:rPr>
                      <w:color w:val="000000"/>
                      <w:sz w:val="28"/>
                      <w:szCs w:val="28"/>
                    </w:rPr>
                    <w:t>я, раздевалка, буфет. На втором этаже расположен административно-хозяйственный блок, а на первом этаже есть медицинский и кухонный блоки, каждый блок разработан в соответствии с действующими нормативами. На территории детского сада есть 2 физкультурные пло</w:t>
                  </w:r>
                  <w:r>
                    <w:rPr>
                      <w:color w:val="000000"/>
                      <w:sz w:val="28"/>
                      <w:szCs w:val="28"/>
                    </w:rPr>
                    <w:t>щадки.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Средняя численность персонала МДОУ «Детский сад №100» - 74 человек, из них: учебно-педагогический персонал – 33 человек, учебно-вспомогательный персонал – 24 человек, административно – управленческий персонал – 3 человека, медицинский персонал </w:t>
                  </w:r>
                  <w:r>
                    <w:rPr>
                      <w:color w:val="000000"/>
                      <w:sz w:val="28"/>
                      <w:szCs w:val="28"/>
                    </w:rPr>
                    <w:t>– 2 человек, обслуживающий персонал – 12 человек</w:t>
                  </w: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</w:tr>
      <w:tr w:rsidR="00823E0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23E0D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учреждением плана его деятельности»</w:t>
            </w:r>
          </w:p>
        </w:tc>
      </w:tr>
      <w:tr w:rsidR="00823E0D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23E0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Остаток на 01.01.2022 709897,90 руб.(по типу ср-в 02.00.00 ), 9 474,94 руб. (по типу средств 03.00.00) За 2021 год МДОУ «Детский сад №100» получило доходов на общую сумму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Остаток на 01.01.2021 80547,71 руб.(по ср-вам от приносящей доход деятельности) За 20</w:t>
                  </w:r>
                  <w:r>
                    <w:rPr>
                      <w:color w:val="000000"/>
                      <w:sz w:val="28"/>
                      <w:szCs w:val="28"/>
                    </w:rPr>
                    <w:t>21год МДОУ «Детский сад №100» получило доходов на общую сумму 49 368 294 руб.43 коп., в том числе: 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- субсидия на выполнение муниципального задания – 39 068 596 руб.06 коп.;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     - собственные доходы учреждения - 9 280 064 руб. 60 коп.;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- субсиди</w:t>
                  </w:r>
                  <w:r>
                    <w:rPr>
                      <w:color w:val="000000"/>
                      <w:sz w:val="28"/>
                      <w:szCs w:val="28"/>
                    </w:rPr>
                    <w:t>я на иные цели – 1 019 633 руб. 77 коп.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За 2021 учреждение произвело расходов на общую сумму 48 738 944 руб. 24 коп., в том числе: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- субсидия на выполнение муниципального задания – 39 068 596 руб.06 коп.;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- собственные доходы учреждения - 8 </w:t>
                  </w:r>
                  <w:r>
                    <w:rPr>
                      <w:color w:val="000000"/>
                      <w:sz w:val="28"/>
                      <w:szCs w:val="28"/>
                    </w:rPr>
                    <w:t>650 714 руб. 41 коп.;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- субсидия на иные цели – 1 019 633 руб. 77 коп.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     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</w:t>
                  </w:r>
                  <w:r>
                    <w:rPr>
                      <w:color w:val="000000"/>
                      <w:sz w:val="24"/>
                      <w:szCs w:val="24"/>
                    </w:rPr>
                    <w:t>Просроченная кредиторская задолженность за 2020 год по субсидиям на выполнение муниципального задания (средства городского бюджета) в сумме 89 361,12 рублей погашена по</w:t>
                  </w:r>
                  <w:r>
                    <w:rPr>
                      <w:color w:val="000000"/>
                      <w:sz w:val="24"/>
                      <w:szCs w:val="24"/>
                    </w:rPr>
                    <w:t>лностью.  На 01.01.2022 года просроченной кредиторской задолженности не имеется. </w:t>
                  </w: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</w:tr>
      <w:tr w:rsidR="00823E0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823E0D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отчетности учреждения»</w:t>
            </w:r>
          </w:p>
        </w:tc>
      </w:tr>
      <w:tr w:rsidR="00823E0D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23E0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E0D" w:rsidRDefault="00E7111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26 февраля 2021 года с учредителем было подписано Соглашение о прекращении обязательств, возникших по Соглашению от 30.12.2019 года, в части финансового обеспечения субсидии на выполнение муниципального задания в сумме 89 361,12 рублей из средств городског</w:t>
                  </w:r>
                  <w:r>
                    <w:rPr>
                      <w:color w:val="000000"/>
                      <w:sz w:val="24"/>
                      <w:szCs w:val="24"/>
                    </w:rPr>
                    <w:t>о бюджета в связи с отсутствием кассового плана исполнения бюджета города Ярославля.</w:t>
                  </w:r>
                </w:p>
                <w:p w:rsidR="00823E0D" w:rsidRDefault="00E71115">
                  <w:pPr>
                    <w:spacing w:before="80" w:after="8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марте 2021 года по материалам было сделано внутреннее перемещение  через счет 106 на сумму 112 446,00  рублей по КФО 2 и на сумму 791 194,00 по КФО 4.</w:t>
                  </w:r>
                </w:p>
                <w:p w:rsidR="00823E0D" w:rsidRDefault="00E71115">
                  <w:pPr>
                    <w:spacing w:before="80" w:after="8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На сумму 25 987,00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руб. была списана Марля на изготовление масок.</w:t>
                  </w:r>
                </w:p>
                <w:p w:rsidR="00823E0D" w:rsidRDefault="00823E0D">
                  <w:pPr>
                    <w:jc w:val="both"/>
                  </w:pPr>
                </w:p>
                <w:p w:rsidR="00823E0D" w:rsidRDefault="00E71115">
                  <w:pPr>
                    <w:spacing w:before="80" w:after="8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Из-за смены личных данных сотрудника был возврат заработной платы из банка в сумме 25267,70 рублей.</w:t>
                  </w:r>
                </w:p>
                <w:p w:rsidR="00823E0D" w:rsidRDefault="00E71115">
                  <w:pPr>
                    <w:spacing w:before="80" w:after="8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связи с закрытием счета родителя были возвращены средства компенсации за присмотр и уход за детьми 1 326,</w:t>
                  </w:r>
                  <w:r>
                    <w:rPr>
                      <w:color w:val="000000"/>
                      <w:sz w:val="24"/>
                      <w:szCs w:val="24"/>
                    </w:rPr>
                    <w:t>0 рублей.</w:t>
                  </w:r>
                </w:p>
                <w:p w:rsidR="00823E0D" w:rsidRDefault="00E7111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За 2021 год оприходованы излишки: </w:t>
                  </w:r>
                </w:p>
                <w:p w:rsidR="00823E0D" w:rsidRDefault="00E7111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материалы на сумму 20 087,50 рублей  КЭК 199.</w:t>
                  </w:r>
                </w:p>
                <w:p w:rsidR="00823E0D" w:rsidRDefault="00823E0D">
                  <w:pPr>
                    <w:jc w:val="both"/>
                  </w:pPr>
                </w:p>
                <w:p w:rsidR="00823E0D" w:rsidRDefault="00823E0D">
                  <w:pPr>
                    <w:jc w:val="both"/>
                  </w:pPr>
                </w:p>
                <w:p w:rsidR="00823E0D" w:rsidRDefault="00E7111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связи с введение СГС «Нематериальные активы»  на учет поставлены неисключительные права по лицензионным договорам (программное обеспечение) на сумму 64450,00 рублей.</w:t>
                  </w:r>
                </w:p>
                <w:p w:rsidR="00823E0D" w:rsidRDefault="00E7111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Пояснения к форме 773:</w:t>
                  </w:r>
                </w:p>
                <w:p w:rsidR="00823E0D" w:rsidRDefault="00E7111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02 графа</w:t>
                  </w:r>
                </w:p>
                <w:p w:rsidR="00823E0D" w:rsidRDefault="00E7111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-62290 (оприходованы НМА, не были учтены на 01 счете, сд</w:t>
                  </w:r>
                  <w:r>
                    <w:rPr>
                      <w:color w:val="000000"/>
                      <w:sz w:val="24"/>
                      <w:szCs w:val="24"/>
                    </w:rPr>
                    <w:t>еланы проводки ошибками прошлых лет)</w:t>
                  </w:r>
                </w:p>
                <w:p w:rsidR="00823E0D" w:rsidRDefault="00E7111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-2160 (оприходованы НМА, были учтены на 01 счете на начало года)</w:t>
                  </w:r>
                </w:p>
                <w:p w:rsidR="00823E0D" w:rsidRDefault="00E7111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03 графа:</w:t>
                  </w:r>
                </w:p>
                <w:p w:rsidR="00823E0D" w:rsidRDefault="00E7111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+62290 (оприходованы НМА, не были учтены на 01 счете, сделаны проводки ошибками прошлых лет)</w:t>
                  </w:r>
                </w:p>
                <w:p w:rsidR="00823E0D" w:rsidRDefault="00E7111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-21300,00 (ошибочно учтены ОС на счете 01, </w:t>
                  </w:r>
                  <w:r>
                    <w:rPr>
                      <w:color w:val="000000"/>
                      <w:sz w:val="24"/>
                      <w:szCs w:val="24"/>
                    </w:rPr>
                    <w:t>сделаны проводки ошибками прошлых лет )</w:t>
                  </w:r>
                </w:p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27 декабря 2021 года учреждением получен исполнительный лист в пользу АО "Ярославльводоканал" по оплате задолженности за негативное воздействие основного долга на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сумму 30 520,04 рублей, возмещение расходов по оплате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госпошлины 1 999,79 рублей, судебные издержки - 31,49 рублей, пени - 5 348,05 рублей.</w:t>
                  </w: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</w:tr>
      <w:tr w:rsidR="00823E0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823E0D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5 «Прочие вопросы деятельности учреждения»</w:t>
            </w:r>
          </w:p>
        </w:tc>
      </w:tr>
      <w:tr w:rsidR="00823E0D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23E0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E0D" w:rsidRDefault="00E71115">
                  <w:pPr>
                    <w:spacing w:before="190" w:after="190"/>
                  </w:pPr>
                  <w:r>
                    <w:rPr>
                      <w:color w:val="000000"/>
                      <w:sz w:val="24"/>
                      <w:szCs w:val="24"/>
                    </w:rPr>
                    <w:t>По состоянию на 01.12.2021 года проведена плановая инвентаризация (приказ №02-03/166А от 29.10.2021 года). По результатам инвентаризации расхождений не выявлено.</w:t>
                  </w: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</w:tr>
      <w:tr w:rsidR="00823E0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23E0D" w:rsidRDefault="00823E0D">
      <w:pPr>
        <w:rPr>
          <w:vanish/>
        </w:rPr>
      </w:pPr>
      <w:bookmarkStart w:id="3" w:name="__bookmark_3"/>
      <w:bookmarkEnd w:id="3"/>
    </w:p>
    <w:tbl>
      <w:tblPr>
        <w:tblOverlap w:val="never"/>
        <w:tblW w:w="10197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823E0D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823E0D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E0D" w:rsidRDefault="00E71115">
                  <w:r>
                    <w:rPr>
                      <w:color w:val="000000"/>
                    </w:rPr>
                    <w:t>Руководитель</w:t>
                  </w: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823E0D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E0D" w:rsidRDefault="00E71115">
                  <w:pPr>
                    <w:jc w:val="center"/>
                  </w:pPr>
                  <w:r>
                    <w:rPr>
                      <w:color w:val="000000"/>
                    </w:rPr>
                    <w:t>И.В. Дуплова</w:t>
                  </w: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</w:tr>
      <w:tr w:rsidR="00823E0D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</w:tr>
      <w:tr w:rsidR="00823E0D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823E0D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3E0D" w:rsidRDefault="00E71115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823E0D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823E0D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3935A4996C7F1084F921D71D221F37F358EB833B</w:t>
                        </w:r>
                      </w:p>
                      <w:p w:rsidR="00823E0D" w:rsidRDefault="00E7111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Дуплова Ирина Владимировна</w:t>
                        </w:r>
                      </w:p>
                      <w:p w:rsidR="00823E0D" w:rsidRDefault="00E7111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23.06.2021 по 23.09.2022</w:t>
                        </w:r>
                      </w:p>
                      <w:p w:rsidR="00823E0D" w:rsidRDefault="00E7111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23E0D" w:rsidRDefault="00823E0D">
                  <w:pPr>
                    <w:spacing w:line="1" w:lineRule="auto"/>
                  </w:pP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</w:tr>
      <w:tr w:rsidR="00823E0D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</w:tr>
      <w:tr w:rsidR="00823E0D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</w:tr>
      <w:tr w:rsidR="00823E0D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823E0D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E0D" w:rsidRDefault="00E71115">
                  <w:r>
                    <w:rPr>
                      <w:rFonts w:ascii="Arial" w:eastAsia="Arial" w:hAnsi="Arial" w:cs="Arial"/>
                      <w:color w:val="000000"/>
                    </w:rPr>
                    <w:t>Главный бухгалтер</w:t>
                  </w: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823E0D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E0D" w:rsidRDefault="00E71115">
                  <w:pPr>
                    <w:jc w:val="center"/>
                  </w:pPr>
                  <w:r>
                    <w:rPr>
                      <w:color w:val="000000"/>
                    </w:rPr>
                    <w:t>А.В. Баранова</w:t>
                  </w: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</w:tr>
      <w:tr w:rsidR="00823E0D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</w:tr>
      <w:tr w:rsidR="00823E0D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823E0D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3E0D" w:rsidRDefault="00E71115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823E0D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823E0D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01D79D8CB649A16000000060081B0002</w:t>
                        </w:r>
                      </w:p>
                      <w:p w:rsidR="00823E0D" w:rsidRDefault="00E7111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Баранова Анна Викторовна</w:t>
                        </w:r>
                      </w:p>
                      <w:p w:rsidR="00823E0D" w:rsidRDefault="00E7111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30.08.2021 по 30.08.2022</w:t>
                        </w:r>
                      </w:p>
                      <w:p w:rsidR="00823E0D" w:rsidRDefault="00E7111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23E0D" w:rsidRDefault="00823E0D">
                  <w:pPr>
                    <w:spacing w:line="1" w:lineRule="auto"/>
                  </w:pP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</w:tr>
      <w:tr w:rsidR="00823E0D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</w:tr>
      <w:tr w:rsidR="00823E0D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</w:tr>
      <w:tr w:rsidR="00823E0D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823E0D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E0D" w:rsidRDefault="00E71115">
                  <w:r>
                    <w:rPr>
                      <w:color w:val="000000"/>
                    </w:rPr>
                    <w:t>Главный бухгалтер</w:t>
                  </w: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823E0D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E0D" w:rsidRDefault="00E71115">
                  <w:pPr>
                    <w:jc w:val="center"/>
                  </w:pPr>
                  <w:r>
                    <w:rPr>
                      <w:color w:val="000000"/>
                    </w:rPr>
                    <w:t>А.В. Баранова</w:t>
                  </w: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</w:tr>
      <w:tr w:rsidR="00823E0D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</w:tr>
      <w:tr w:rsidR="00823E0D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823E0D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3E0D" w:rsidRDefault="00E71115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823E0D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823E0D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01D79D8CB649A16000000060081B0002</w:t>
                        </w:r>
                      </w:p>
                      <w:p w:rsidR="00823E0D" w:rsidRDefault="00E7111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Баранова Анна Викторовна</w:t>
                        </w:r>
                      </w:p>
                      <w:p w:rsidR="00823E0D" w:rsidRDefault="00E7111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30.08.2021 по 30.08.2022</w:t>
                        </w:r>
                      </w:p>
                      <w:p w:rsidR="00823E0D" w:rsidRDefault="00E7111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23E0D" w:rsidRDefault="00823E0D">
                  <w:pPr>
                    <w:spacing w:line="1" w:lineRule="auto"/>
                  </w:pP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</w:tr>
      <w:tr w:rsidR="00823E0D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</w:tr>
      <w:tr w:rsidR="00823E0D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</w:tr>
    </w:tbl>
    <w:p w:rsidR="00823E0D" w:rsidRDefault="00823E0D">
      <w:pPr>
        <w:rPr>
          <w:vanish/>
        </w:rPr>
      </w:pPr>
      <w:bookmarkStart w:id="4" w:name="__bookmark_4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823E0D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jc w:val="center"/>
              <w:rPr>
                <w:color w:val="000000"/>
              </w:rPr>
            </w:pPr>
          </w:p>
        </w:tc>
      </w:tr>
      <w:tr w:rsidR="00823E0D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jc w:val="center"/>
              <w:rPr>
                <w:color w:val="000000"/>
              </w:rPr>
            </w:pPr>
          </w:p>
        </w:tc>
      </w:tr>
      <w:tr w:rsidR="00823E0D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(наименование, местонахождение )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jc w:val="center"/>
              <w:rPr>
                <w:color w:val="000000"/>
              </w:rPr>
            </w:pPr>
          </w:p>
        </w:tc>
      </w:tr>
      <w:tr w:rsidR="00823E0D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  <w:jc w:val="center"/>
            </w:pPr>
          </w:p>
        </w:tc>
      </w:tr>
    </w:tbl>
    <w:p w:rsidR="00823E0D" w:rsidRDefault="00823E0D">
      <w:pPr>
        <w:rPr>
          <w:vanish/>
        </w:rPr>
      </w:pPr>
      <w:bookmarkStart w:id="5" w:name="__bookmark_5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823E0D">
        <w:trPr>
          <w:trHeight w:val="566"/>
        </w:trPr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br/>
              <w:t>(уполномоченное лицо)</w:t>
            </w:r>
          </w:p>
        </w:tc>
        <w:tc>
          <w:tcPr>
            <w:tcW w:w="2984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823E0D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E0D" w:rsidRDefault="00823E0D">
                  <w:pPr>
                    <w:spacing w:line="1" w:lineRule="auto"/>
                    <w:jc w:val="center"/>
                  </w:pP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</w:tr>
      <w:tr w:rsidR="00823E0D">
        <w:trPr>
          <w:trHeight w:val="566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823E0D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</w:tr>
      <w:tr w:rsidR="00823E0D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E71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823E0D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E0D" w:rsidRDefault="00E71115">
                  <w:pPr>
                    <w:jc w:val="center"/>
                  </w:pPr>
                  <w:r>
                    <w:rPr>
                      <w:color w:val="000000"/>
                    </w:rPr>
                    <w:t>А.В. Баранова</w:t>
                  </w: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</w:tr>
      <w:tr w:rsidR="00823E0D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823E0D">
        <w:tc>
          <w:tcPr>
            <w:tcW w:w="7215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15"/>
            </w:tblGrid>
            <w:tr w:rsidR="00823E0D">
              <w:trPr>
                <w:trHeight w:val="184"/>
              </w:trPr>
              <w:tc>
                <w:tcPr>
                  <w:tcW w:w="721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3E0D" w:rsidRDefault="00E7111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823E0D">
              <w:trPr>
                <w:trHeight w:val="230"/>
              </w:trPr>
              <w:tc>
                <w:tcPr>
                  <w:tcW w:w="7215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15"/>
                  </w:tblGrid>
                  <w:tr w:rsidR="00823E0D">
                    <w:tc>
                      <w:tcPr>
                        <w:tcW w:w="72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23E0D" w:rsidRDefault="00E7111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Сертификат: 01D79D8CB649A16000000060081B0002</w:t>
                        </w:r>
                      </w:p>
                      <w:p w:rsidR="00823E0D" w:rsidRDefault="00E7111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Владелец: Баранова Анна Викторовна</w:t>
                        </w:r>
                      </w:p>
                      <w:p w:rsidR="00823E0D" w:rsidRDefault="00E7111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Действителен с 30.08.2021 по 30.08.2022</w:t>
                        </w:r>
                      </w:p>
                      <w:p w:rsidR="00823E0D" w:rsidRDefault="00E7111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23E0D" w:rsidRDefault="00823E0D">
                  <w:pPr>
                    <w:spacing w:line="1" w:lineRule="auto"/>
                  </w:pP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823E0D">
        <w:tc>
          <w:tcPr>
            <w:tcW w:w="7215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823E0D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E7111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823E0D">
            <w:pPr>
              <w:spacing w:line="1" w:lineRule="auto"/>
              <w:jc w:val="center"/>
            </w:pPr>
          </w:p>
        </w:tc>
      </w:tr>
      <w:tr w:rsidR="00823E0D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E7111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</w:tr>
      <w:tr w:rsidR="00823E0D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E7111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E0D" w:rsidRDefault="00E711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(телефон, e-mail)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E0D" w:rsidRDefault="00823E0D">
            <w:pPr>
              <w:spacing w:line="1" w:lineRule="auto"/>
            </w:pPr>
          </w:p>
        </w:tc>
      </w:tr>
      <w:tr w:rsidR="00823E0D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23E0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3E0D" w:rsidRDefault="00E71115">
                  <w:r>
                    <w:rPr>
                      <w:color w:val="000000"/>
                    </w:rPr>
                    <w:t>15 марта 2022 г.</w:t>
                  </w:r>
                </w:p>
              </w:tc>
            </w:tr>
          </w:tbl>
          <w:p w:rsidR="00823E0D" w:rsidRDefault="00823E0D">
            <w:pPr>
              <w:spacing w:line="1" w:lineRule="auto"/>
            </w:pPr>
          </w:p>
        </w:tc>
      </w:tr>
    </w:tbl>
    <w:p w:rsidR="00E71115" w:rsidRDefault="00E71115"/>
    <w:sectPr w:rsidR="00E71115" w:rsidSect="00823E0D">
      <w:headerReference w:type="default" r:id="rId7"/>
      <w:footerReference w:type="default" r:id="rId8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15" w:rsidRDefault="00E71115" w:rsidP="00823E0D">
      <w:r>
        <w:separator/>
      </w:r>
    </w:p>
  </w:endnote>
  <w:endnote w:type="continuationSeparator" w:id="0">
    <w:p w:rsidR="00E71115" w:rsidRDefault="00E71115" w:rsidP="008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23E0D">
      <w:tc>
        <w:tcPr>
          <w:tcW w:w="10421" w:type="dxa"/>
        </w:tcPr>
        <w:p w:rsidR="00823E0D" w:rsidRDefault="00823E0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15" w:rsidRDefault="00E71115" w:rsidP="00823E0D">
      <w:r>
        <w:separator/>
      </w:r>
    </w:p>
  </w:footnote>
  <w:footnote w:type="continuationSeparator" w:id="0">
    <w:p w:rsidR="00E71115" w:rsidRDefault="00E71115" w:rsidP="0082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23E0D">
      <w:tc>
        <w:tcPr>
          <w:tcW w:w="10421" w:type="dxa"/>
        </w:tcPr>
        <w:p w:rsidR="00823E0D" w:rsidRDefault="00823E0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0D"/>
    <w:rsid w:val="00086D04"/>
    <w:rsid w:val="00823E0D"/>
    <w:rsid w:val="00E7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23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23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HP</cp:lastModifiedBy>
  <cp:revision>2</cp:revision>
  <dcterms:created xsi:type="dcterms:W3CDTF">2022-03-15T14:27:00Z</dcterms:created>
  <dcterms:modified xsi:type="dcterms:W3CDTF">2022-03-15T14:27:00Z</dcterms:modified>
</cp:coreProperties>
</file>